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</w:pPr>
    </w:p>
    <w:p>
      <w:pPr>
        <w:pStyle w:val="Body"/>
        <w:spacing w:before="240" w:after="6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 xml:space="preserve">Sliding </w:t>
      </w:r>
      <w:r>
        <w:rPr>
          <w:rFonts w:ascii="Cambria" w:cs="Cambria" w:hAnsi="Cambria" w:eastAsia="Cambria"/>
          <w:b w:val="1"/>
          <w:bCs w:val="1"/>
          <w:color w:val="000000"/>
          <w:sz w:val="29"/>
          <w:szCs w:val="29"/>
          <w:u w:color="000000"/>
          <w:rtl w:val="0"/>
          <w:lang w:val="nl-NL"/>
        </w:rPr>
        <w:t>Fee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color="000000"/>
          <w:rtl w:val="0"/>
          <w:lang w:val="nl-NL"/>
        </w:rPr>
        <w:t xml:space="preserve"> Guidelines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Namaste Family Services offers a sliding fee scale for clients who do not have insurance and are having financial difficulties. Each request for a reduction in the normal fee of $110.00 is reviewed on a case-by-case basis and may be subject to change with a two week notice. A portion of the evaluation process will consider family gross income. Proof of income may be required prior to offering a sliding fee. 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 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Other factors may also be considered and is at the sole discretion of Namaste Family Services, LLC.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 sliding fee may not be used to reduce an insurance deductible.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The following family gross income levels will be used as a </w:t>
      </w:r>
      <w:r>
        <w:rPr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guideline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in determining the appropriate rate for services rendered:</w:t>
      </w:r>
    </w:p>
    <w:p>
      <w:pPr>
        <w:pStyle w:val="Body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1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93"/>
        <w:gridCol w:w="1810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Family Income Level*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Rate per session*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$10,000.00-$15,000.00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$50.00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$15,001.00-$20,000.00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$55.00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$20,001.00-$30,000.00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$60.00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$30,001.00-$40,000.00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$65.00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$40,001.00-$45,000.00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$70.00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$45,001.00-$70,000.00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$80.00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$70,001.00-$89,999.00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$90.00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2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$90,000.00 and above</w:t>
            </w:r>
          </w:p>
        </w:tc>
        <w:tc>
          <w:tcPr>
            <w:tcW w:type="dxa" w:w="18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$110.00</w:t>
            </w:r>
          </w:p>
        </w:tc>
      </w:tr>
    </w:tbl>
    <w:p>
      <w:pPr>
        <w:pStyle w:val="Body"/>
        <w:widowControl w:val="0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*This is a guideline only and is offered at the discretion of Namaste Family Services, LLC.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Payment is due at time of service. If a client has a late cancellation or no call/no show situation, a payment will be required prior to scheduling the next session. </w:t>
      </w:r>
      <w:r>
        <w:rPr>
          <w:b w:val="1"/>
          <w:bCs w:val="1"/>
          <w:sz w:val="24"/>
          <w:szCs w:val="24"/>
          <w:rtl w:val="0"/>
          <w:lang w:val="en-US"/>
        </w:rPr>
        <w:t> </w:t>
      </w:r>
      <w:r>
        <w:rPr>
          <w:b w:val="1"/>
          <w:bCs w:val="1"/>
          <w:sz w:val="24"/>
          <w:szCs w:val="24"/>
          <w:rtl w:val="0"/>
          <w:lang w:val="en-US"/>
        </w:rPr>
        <w:t>Namaste Family Services, LLC, may also require a prepayment for the next session if deemed necessary. This will be at the sole discretion of Namaste Family Services, LLC</w:t>
      </w:r>
    </w:p>
    <w:p>
      <w:pPr>
        <w:pStyle w:val="Default"/>
        <w:rPr>
          <w:b w:val="1"/>
          <w:bCs w:val="1"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4100829</wp:posOffset>
                </wp:positionH>
                <wp:positionV relativeFrom="page">
                  <wp:posOffset>1064260</wp:posOffset>
                </wp:positionV>
                <wp:extent cx="3539490" cy="1651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3"/>
                              <w:jc w:val="right"/>
                            </w:pPr>
                            <w:r>
                              <w:rPr>
                                <w:rStyle w:val="A1"/>
                                <w:rtl w:val="0"/>
                                <w:lang w:val="en-US"/>
                              </w:rPr>
                              <w:t xml:space="preserve"> 114 North Main St Ste. 11, Chelsea MI. 481118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2.9pt;margin-top:83.8pt;width:278.7pt;height:1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3"/>
                        <w:jc w:val="right"/>
                      </w:pPr>
                      <w:r>
                        <w:rPr>
                          <w:rStyle w:val="A1"/>
                          <w:rtl w:val="0"/>
                          <w:lang w:val="en-US"/>
                        </w:rPr>
                        <w:t xml:space="preserve"> 114 North Main St Ste. 11, Chelsea MI. 481118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Pa3"/>
        <w:widowControl w:val="1"/>
        <w:jc w:val="right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1040765</wp:posOffset>
                </wp:positionV>
                <wp:extent cx="2992120" cy="16827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682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41" w:lineRule="atLeast"/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i w:val="1"/>
                                <w:iCs w:val="1"/>
                                <w:color w:val="4d1d00"/>
                                <w:sz w:val="22"/>
                                <w:szCs w:val="22"/>
                                <w:u w:color="4d1d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i w:val="1"/>
                                <w:iCs w:val="1"/>
                                <w:color w:val="4d1d00"/>
                                <w:sz w:val="22"/>
                                <w:szCs w:val="22"/>
                                <w:u w:color="4d1d00"/>
                                <w:rtl w:val="0"/>
                                <w:lang w:val="en-US"/>
                              </w:rPr>
                              <w:t xml:space="preserve">Helping families achieve their fullest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i w:val="1"/>
                                <w:iCs w:val="1"/>
                                <w:color w:val="4d1d00"/>
                                <w:sz w:val="20"/>
                                <w:szCs w:val="20"/>
                                <w:u w:color="4d1d00"/>
                                <w:rtl w:val="0"/>
                                <w:lang w:val="en-US"/>
                              </w:rPr>
                              <w:t>potential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i w:val="1"/>
                                <w:iCs w:val="1"/>
                                <w:color w:val="4d1d00"/>
                                <w:sz w:val="22"/>
                                <w:szCs w:val="22"/>
                                <w:u w:color="4d1d0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i w:val="1"/>
                                <w:iCs w:val="1"/>
                                <w:color w:val="4d1d00"/>
                                <w:sz w:val="22"/>
                                <w:szCs w:val="22"/>
                                <w:u w:color="4d1d00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.5pt;margin-top:81.9pt;width:235.6pt;height:13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41" w:lineRule="atLeast"/>
                      </w:pPr>
                      <w:r>
                        <w:rPr>
                          <w:rFonts w:ascii="Footlight MT Light" w:cs="Footlight MT Light" w:hAnsi="Footlight MT Light" w:eastAsia="Footlight MT Light"/>
                          <w:i w:val="1"/>
                          <w:iCs w:val="1"/>
                          <w:color w:val="4d1d00"/>
                          <w:sz w:val="22"/>
                          <w:szCs w:val="22"/>
                          <w:u w:color="4d1d0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Footlight MT Light" w:cs="Footlight MT Light" w:hAnsi="Footlight MT Light" w:eastAsia="Footlight MT Light"/>
                          <w:i w:val="1"/>
                          <w:iCs w:val="1"/>
                          <w:color w:val="4d1d00"/>
                          <w:sz w:val="22"/>
                          <w:szCs w:val="22"/>
                          <w:u w:color="4d1d00"/>
                          <w:rtl w:val="0"/>
                          <w:lang w:val="en-US"/>
                        </w:rPr>
                        <w:t xml:space="preserve">Helping families achieve their fullest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i w:val="1"/>
                          <w:iCs w:val="1"/>
                          <w:color w:val="4d1d00"/>
                          <w:sz w:val="20"/>
                          <w:szCs w:val="20"/>
                          <w:u w:color="4d1d00"/>
                          <w:rtl w:val="0"/>
                          <w:lang w:val="en-US"/>
                        </w:rPr>
                        <w:t>potential</w:t>
                      </w:r>
                      <w:r>
                        <w:rPr>
                          <w:rFonts w:ascii="Footlight MT Light" w:cs="Footlight MT Light" w:hAnsi="Footlight MT Light" w:eastAsia="Footlight MT Light"/>
                          <w:i w:val="1"/>
                          <w:iCs w:val="1"/>
                          <w:color w:val="4d1d00"/>
                          <w:sz w:val="22"/>
                          <w:szCs w:val="22"/>
                          <w:u w:color="4d1d0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Footlight MT Light" w:cs="Footlight MT Light" w:hAnsi="Footlight MT Light" w:eastAsia="Footlight MT Light"/>
                          <w:i w:val="1"/>
                          <w:iCs w:val="1"/>
                          <w:color w:val="4d1d00"/>
                          <w:sz w:val="22"/>
                          <w:szCs w:val="22"/>
                          <w:u w:color="4d1d00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-5715</wp:posOffset>
                </wp:positionH>
                <wp:positionV relativeFrom="page">
                  <wp:posOffset>9802495</wp:posOffset>
                </wp:positionV>
                <wp:extent cx="12700" cy="53092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53092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2"/>
                              <w:jc w:val="center"/>
                            </w:pPr>
                            <w:r>
                              <w:rPr>
                                <w:color w:val="4d1d00"/>
                                <w:sz w:val="26"/>
                                <w:szCs w:val="26"/>
                                <w:u w:color="4d1d0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4pt;margin-top:771.8pt;width:1.0pt;height:41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2"/>
                        <w:jc w:val="center"/>
                      </w:pPr>
                      <w:r>
                        <w:rPr>
                          <w:color w:val="4d1d00"/>
                          <w:sz w:val="26"/>
                          <w:szCs w:val="26"/>
                          <w:u w:color="4d1d00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768350</wp:posOffset>
                </wp:positionV>
                <wp:extent cx="1223645" cy="1651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3"/>
                              <w:jc w:val="right"/>
                            </w:pPr>
                            <w:r>
                              <w:rPr>
                                <w:rStyle w:val="A1"/>
                                <w:rtl w:val="0"/>
                                <w:lang w:val="en-US"/>
                              </w:rPr>
                              <w:t>734.231.0659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03.5pt;margin-top:60.5pt;width:96.3pt;height:1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3"/>
                        <w:jc w:val="right"/>
                      </w:pPr>
                      <w:r>
                        <w:rPr>
                          <w:rStyle w:val="A1"/>
                          <w:rtl w:val="0"/>
                          <w:lang w:val="en-US"/>
                        </w:rPr>
                        <w:t>734.231.0659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915035</wp:posOffset>
                </wp:positionV>
                <wp:extent cx="2003425" cy="1651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65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3"/>
                              <w:jc w:val="right"/>
                            </w:pPr>
                            <w:r>
                              <w:rPr>
                                <w:rStyle w:val="A1"/>
                                <w:rtl w:val="0"/>
                                <w:lang w:val="en-US"/>
                              </w:rPr>
                              <w:t>mpatterson.msw.@gmail.com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42.4pt;margin-top:72.1pt;width:157.8pt;height:1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3"/>
                        <w:jc w:val="right"/>
                      </w:pPr>
                      <w:r>
                        <w:rPr>
                          <w:rStyle w:val="A1"/>
                          <w:rtl w:val="0"/>
                          <w:lang w:val="en-US"/>
                        </w:rPr>
                        <w:t>mpatterson.msw.@gmail.com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6340" w:orient="portrait"/>
      <w:pgMar w:top="403" w:right="990" w:bottom="1440" w:left="117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flisch Script Pro Regular">
    <w:charset w:val="00"/>
    <w:family w:val="roman"/>
    <w:pitch w:val="default"/>
  </w:font>
  <w:font w:name="Cambria">
    <w:charset w:val="00"/>
    <w:family w:val="roman"/>
    <w:pitch w:val="default"/>
  </w:font>
  <w:font w:name="Footlight M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t>Revised May 1,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flisch Script Pro Regular" w:cs="Caflisch Script Pro Regular" w:hAnsi="Caflisch Script Pro Regular" w:eastAsia="Caflisch Script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Pa3">
    <w:name w:val="Pa3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Caflisch Script Pro Regular" w:cs="Caflisch Script Pro Regular" w:hAnsi="Caflisch Script Pro Regular" w:eastAsia="Caflisch Script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1">
    <w:name w:val="A1"/>
    <w:rPr>
      <w:rFonts w:ascii="Footlight MT Light" w:cs="Footlight MT Light" w:hAnsi="Footlight MT Light" w:eastAsia="Footlight MT Light"/>
      <w:color w:val="4d1d00"/>
      <w:sz w:val="20"/>
      <w:szCs w:val="20"/>
      <w:u w:color="4d1d00"/>
      <w:lang w:val="en-US"/>
    </w:rPr>
  </w:style>
  <w:style w:type="paragraph" w:styleId="Pa2">
    <w:name w:val="Pa2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Caflisch Script Pro Regular" w:cs="Caflisch Script Pro Regular" w:hAnsi="Caflisch Script Pro Regular" w:eastAsia="Caflisch Script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